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B12FF6" w:rsidTr="006F5EFF">
        <w:trPr>
          <w:cantSplit/>
          <w:trHeight w:val="1132"/>
        </w:trPr>
        <w:tc>
          <w:tcPr>
            <w:tcW w:w="4500" w:type="dxa"/>
          </w:tcPr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FF6" w:rsidRDefault="00B12FF6" w:rsidP="006F5EF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B12FF6" w:rsidRPr="00C325A8" w:rsidRDefault="00B12FF6" w:rsidP="006F5EFF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B12FF6" w:rsidTr="006F5EFF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12FF6" w:rsidRDefault="00B12FF6" w:rsidP="006F5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AC3116" w:rsidRDefault="00AC3116" w:rsidP="00B12FF6">
      <w:pPr>
        <w:jc w:val="center"/>
        <w:rPr>
          <w:sz w:val="28"/>
          <w:szCs w:val="28"/>
        </w:rPr>
      </w:pPr>
    </w:p>
    <w:p w:rsidR="00B12FF6" w:rsidRDefault="00AC3116" w:rsidP="00AC3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12FF6">
        <w:rPr>
          <w:sz w:val="28"/>
          <w:szCs w:val="28"/>
        </w:rPr>
        <w:t xml:space="preserve"> </w:t>
      </w:r>
    </w:p>
    <w:p w:rsidR="00B12FF6" w:rsidRDefault="00AC3116" w:rsidP="00B12FF6">
      <w:pPr>
        <w:pStyle w:val="2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 февраля 2020</w:t>
      </w:r>
      <w:r w:rsidRPr="008045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685AD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E2426C" w:rsidRPr="000B257A" w:rsidRDefault="00E2426C" w:rsidP="00E2426C">
      <w:pPr>
        <w:jc w:val="both"/>
        <w:rPr>
          <w:sz w:val="26"/>
          <w:szCs w:val="26"/>
        </w:rPr>
      </w:pPr>
    </w:p>
    <w:p w:rsidR="00AC3116" w:rsidRPr="00AC3116" w:rsidRDefault="00AC3116" w:rsidP="00685A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расходам и источникам финансиров</w:t>
      </w:r>
      <w:r w:rsidR="00B9654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ния дефицита бюджета сельского поселения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Default="00B9654A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116" w:rsidRPr="00596A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04.11.2019, с изм. от 12.11.2019){КонсультантПлюс}" w:history="1">
        <w:r w:rsidR="00AC3116"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="00AC3116"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Бюджетный кодекс Российской Федерации&quot; от 31.07.1998 N 145-ФЗ (ред. от 04.11.2019, с изм. от 12.11.2019){КонсультантПлюс}" w:history="1">
        <w:r w:rsidR="00AC3116"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="00AC3116"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="00AC3116"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C3116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AC3116" w:rsidRPr="00596AE4">
        <w:rPr>
          <w:rFonts w:ascii="Times New Roman" w:hAnsi="Times New Roman" w:cs="Times New Roman"/>
          <w:sz w:val="28"/>
          <w:szCs w:val="28"/>
        </w:rPr>
        <w:t>О бюджетном процессе в Республике Башкортостан</w:t>
      </w:r>
      <w:r w:rsidR="00AC3116">
        <w:rPr>
          <w:rFonts w:ascii="Times New Roman" w:hAnsi="Times New Roman" w:cs="Times New Roman"/>
          <w:sz w:val="28"/>
          <w:szCs w:val="28"/>
        </w:rPr>
        <w:t>»</w:t>
      </w:r>
      <w:r w:rsidR="00AC3116" w:rsidRPr="00596AE4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сельском поселении </w:t>
      </w:r>
      <w:proofErr w:type="spellStart"/>
      <w:r w:rsidR="00AC3116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AC3116"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C311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AC3116"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="00B9654A">
        <w:rPr>
          <w:rFonts w:ascii="Times New Roman" w:hAnsi="Times New Roman" w:cs="Times New Roman"/>
          <w:sz w:val="28"/>
          <w:szCs w:val="28"/>
        </w:rPr>
        <w:t xml:space="preserve">  </w:t>
      </w:r>
      <w:r w:rsidRPr="00596A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3116" w:rsidRDefault="00B9654A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116" w:rsidRPr="00596AE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tooltip="ПОРЯДОК" w:history="1">
        <w:r w:rsidR="00AC3116" w:rsidRPr="00596A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C3116" w:rsidRPr="00596AE4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proofErr w:type="spellStart"/>
      <w:r w:rsidR="00AC3116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AC3116"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C311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AC3116"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AC3116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AC3116"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C311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AC3116"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9654A" w:rsidRPr="00B9654A" w:rsidRDefault="00B9654A" w:rsidP="00685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654A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B9654A">
        <w:rPr>
          <w:sz w:val="28"/>
          <w:szCs w:val="28"/>
        </w:rPr>
        <w:t>Алькинский</w:t>
      </w:r>
      <w:proofErr w:type="spellEnd"/>
      <w:r w:rsidRPr="00B9654A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B9654A">
        <w:rPr>
          <w:sz w:val="28"/>
          <w:szCs w:val="28"/>
        </w:rPr>
        <w:t>Салаватский</w:t>
      </w:r>
      <w:proofErr w:type="spellEnd"/>
      <w:r w:rsidRPr="00B9654A">
        <w:rPr>
          <w:sz w:val="28"/>
          <w:szCs w:val="28"/>
        </w:rPr>
        <w:t xml:space="preserve"> район, </w:t>
      </w:r>
      <w:proofErr w:type="spellStart"/>
      <w:r w:rsidRPr="00B9654A">
        <w:rPr>
          <w:sz w:val="28"/>
          <w:szCs w:val="28"/>
        </w:rPr>
        <w:t>с</w:t>
      </w:r>
      <w:proofErr w:type="gramStart"/>
      <w:r w:rsidRPr="00B9654A">
        <w:rPr>
          <w:sz w:val="28"/>
          <w:szCs w:val="28"/>
        </w:rPr>
        <w:t>.А</w:t>
      </w:r>
      <w:proofErr w:type="gramEnd"/>
      <w:r w:rsidRPr="00B9654A">
        <w:rPr>
          <w:sz w:val="28"/>
          <w:szCs w:val="28"/>
        </w:rPr>
        <w:t>лькино</w:t>
      </w:r>
      <w:proofErr w:type="spellEnd"/>
      <w:r w:rsidRPr="00B9654A"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B9654A">
        <w:rPr>
          <w:sz w:val="28"/>
          <w:szCs w:val="28"/>
        </w:rPr>
        <w:t>Салаватский</w:t>
      </w:r>
      <w:proofErr w:type="spellEnd"/>
      <w:r w:rsidRPr="00B9654A">
        <w:rPr>
          <w:sz w:val="28"/>
          <w:szCs w:val="28"/>
        </w:rPr>
        <w:t xml:space="preserve"> район  </w:t>
      </w:r>
      <w:r w:rsidRPr="00B9654A"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B9654A">
        <w:rPr>
          <w:sz w:val="28"/>
          <w:szCs w:val="28"/>
          <w:lang w:val="en-US"/>
        </w:rPr>
        <w:t>http</w:t>
      </w:r>
      <w:r w:rsidRPr="00B9654A">
        <w:rPr>
          <w:sz w:val="28"/>
          <w:szCs w:val="28"/>
        </w:rPr>
        <w:t>://</w:t>
      </w:r>
      <w:r w:rsidRPr="00B9654A">
        <w:rPr>
          <w:sz w:val="28"/>
          <w:szCs w:val="28"/>
          <w:lang w:val="en-US"/>
        </w:rPr>
        <w:t>cp</w:t>
      </w:r>
      <w:r w:rsidRPr="00B9654A">
        <w:rPr>
          <w:sz w:val="28"/>
          <w:szCs w:val="28"/>
        </w:rPr>
        <w:t>-</w:t>
      </w:r>
      <w:proofErr w:type="spellStart"/>
      <w:r w:rsidRPr="00B9654A">
        <w:rPr>
          <w:sz w:val="28"/>
          <w:szCs w:val="28"/>
          <w:lang w:val="en-US"/>
        </w:rPr>
        <w:t>alkino</w:t>
      </w:r>
      <w:proofErr w:type="spellEnd"/>
      <w:r w:rsidRPr="00B9654A">
        <w:rPr>
          <w:sz w:val="28"/>
          <w:szCs w:val="28"/>
        </w:rPr>
        <w:t>.</w:t>
      </w:r>
      <w:proofErr w:type="spellStart"/>
      <w:r w:rsidRPr="00B9654A">
        <w:rPr>
          <w:sz w:val="28"/>
          <w:szCs w:val="28"/>
          <w:lang w:val="en-US"/>
        </w:rPr>
        <w:t>ru</w:t>
      </w:r>
      <w:proofErr w:type="spellEnd"/>
      <w:r w:rsidRPr="00B9654A">
        <w:rPr>
          <w:sz w:val="28"/>
          <w:szCs w:val="28"/>
        </w:rPr>
        <w:t xml:space="preserve">. </w:t>
      </w:r>
    </w:p>
    <w:p w:rsidR="00AC3116" w:rsidRPr="00596AE4" w:rsidRDefault="00B9654A" w:rsidP="00685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116" w:rsidRPr="00596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3116" w:rsidRPr="00596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3116" w:rsidRPr="00596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3116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tabs>
          <w:tab w:val="left" w:pos="2614"/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EE20C9" w:rsidRDefault="00AC3116" w:rsidP="00685AD2">
      <w:pPr>
        <w:ind w:firstLine="709"/>
        <w:jc w:val="both"/>
        <w:rPr>
          <w:sz w:val="28"/>
          <w:szCs w:val="28"/>
        </w:rPr>
      </w:pPr>
      <w:r w:rsidRPr="00EE20C9">
        <w:rPr>
          <w:sz w:val="28"/>
        </w:rPr>
        <w:t>Глава сельского поселения</w:t>
      </w:r>
      <w:r w:rsidRPr="00EE20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  <w:r w:rsidRPr="00EE20C9">
        <w:rPr>
          <w:sz w:val="28"/>
          <w:szCs w:val="28"/>
        </w:rPr>
        <w:t xml:space="preserve">                                                            </w:t>
      </w:r>
    </w:p>
    <w:p w:rsidR="00AC3116" w:rsidRPr="00596AE4" w:rsidRDefault="00AC3116" w:rsidP="00685AD2">
      <w:pPr>
        <w:ind w:firstLine="709"/>
        <w:jc w:val="both"/>
        <w:rPr>
          <w:sz w:val="28"/>
          <w:szCs w:val="28"/>
        </w:rPr>
      </w:pPr>
    </w:p>
    <w:p w:rsidR="00AC3116" w:rsidRPr="00596AE4" w:rsidRDefault="00AC3116" w:rsidP="00685AD2">
      <w:pPr>
        <w:ind w:firstLine="709"/>
        <w:jc w:val="both"/>
        <w:rPr>
          <w:sz w:val="28"/>
          <w:szCs w:val="28"/>
        </w:rPr>
      </w:pPr>
    </w:p>
    <w:p w:rsidR="00AC3116" w:rsidRDefault="00AC3116" w:rsidP="00685AD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116" w:rsidRDefault="00AC3116" w:rsidP="00685AD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116" w:rsidRDefault="00AC3116" w:rsidP="00685AD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116" w:rsidRDefault="00AC3116" w:rsidP="00685AD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116" w:rsidRPr="00B9654A" w:rsidRDefault="00B9654A" w:rsidP="00685A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5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654A" w:rsidRPr="00B9654A" w:rsidRDefault="00B9654A" w:rsidP="00685A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54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54A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B9654A" w:rsidRPr="00B9654A" w:rsidRDefault="00B9654A" w:rsidP="00685A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9654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B965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654A" w:rsidRPr="00B9654A" w:rsidRDefault="00B9654A" w:rsidP="00685A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5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654A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9654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654A" w:rsidRPr="00B9654A" w:rsidRDefault="00B9654A" w:rsidP="00685A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54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9654A" w:rsidRPr="00B9654A" w:rsidRDefault="00B9654A" w:rsidP="00685A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54A">
        <w:rPr>
          <w:rFonts w:ascii="Times New Roman" w:hAnsi="Times New Roman" w:cs="Times New Roman"/>
          <w:sz w:val="28"/>
          <w:szCs w:val="28"/>
        </w:rPr>
        <w:t xml:space="preserve">  №</w:t>
      </w:r>
      <w:r w:rsidR="00CC3B3C">
        <w:rPr>
          <w:rFonts w:ascii="Times New Roman" w:hAnsi="Times New Roman" w:cs="Times New Roman"/>
          <w:sz w:val="28"/>
          <w:szCs w:val="28"/>
        </w:rPr>
        <w:t>5</w:t>
      </w:r>
      <w:r w:rsidRPr="00B9654A">
        <w:rPr>
          <w:rFonts w:ascii="Times New Roman" w:hAnsi="Times New Roman" w:cs="Times New Roman"/>
          <w:sz w:val="28"/>
          <w:szCs w:val="28"/>
        </w:rPr>
        <w:t xml:space="preserve"> от 12 февраля 2020 г</w:t>
      </w:r>
    </w:p>
    <w:p w:rsidR="00B9654A" w:rsidRPr="00596AE4" w:rsidRDefault="00B9654A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B9654A" w:rsidP="00685A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C3116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к исполнения бюджета сельского поселения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расходам </w:t>
      </w:r>
      <w:r>
        <w:rPr>
          <w:rFonts w:ascii="Times New Roman" w:hAnsi="Times New Roman" w:cs="Times New Roman"/>
          <w:b w:val="0"/>
          <w:sz w:val="28"/>
          <w:szCs w:val="28"/>
        </w:rPr>
        <w:t>и источникам финансирован</w:t>
      </w:r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ия дефицита бюджета сельского поселения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C3116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AC311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1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9654A">
        <w:rPr>
          <w:rFonts w:ascii="Times New Roman" w:hAnsi="Times New Roman" w:cs="Times New Roman"/>
          <w:sz w:val="28"/>
          <w:szCs w:val="28"/>
        </w:rPr>
        <w:t>«</w:t>
      </w:r>
      <w:r w:rsidRPr="00596AE4">
        <w:rPr>
          <w:rFonts w:ascii="Times New Roman" w:hAnsi="Times New Roman" w:cs="Times New Roman"/>
          <w:sz w:val="28"/>
          <w:szCs w:val="28"/>
        </w:rPr>
        <w:t>О бюджетном процессе в Республике Башкортостан</w:t>
      </w:r>
      <w:r w:rsidR="00B9654A">
        <w:rPr>
          <w:rFonts w:ascii="Times New Roman" w:hAnsi="Times New Roman" w:cs="Times New Roman"/>
          <w:sz w:val="28"/>
          <w:szCs w:val="28"/>
        </w:rPr>
        <w:t>»</w:t>
      </w:r>
      <w:r w:rsidRPr="00596AE4">
        <w:rPr>
          <w:rFonts w:ascii="Times New Roman" w:hAnsi="Times New Roman" w:cs="Times New Roman"/>
          <w:sz w:val="28"/>
          <w:szCs w:val="28"/>
        </w:rPr>
        <w:t xml:space="preserve">, Положением «О бюджетном процессе </w:t>
      </w:r>
      <w:r w:rsidR="00B9654A" w:rsidRPr="00596AE4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B9654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9654A" w:rsidRPr="00596A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6AE4">
        <w:rPr>
          <w:rFonts w:ascii="Times New Roman" w:hAnsi="Times New Roman" w:cs="Times New Roman"/>
          <w:sz w:val="28"/>
          <w:szCs w:val="28"/>
        </w:rPr>
        <w:t>муниципально</w:t>
      </w:r>
      <w:r w:rsidR="00B9654A">
        <w:rPr>
          <w:rFonts w:ascii="Times New Roman" w:hAnsi="Times New Roman" w:cs="Times New Roman"/>
          <w:sz w:val="28"/>
          <w:szCs w:val="28"/>
        </w:rPr>
        <w:t>го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654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9654A">
        <w:rPr>
          <w:rFonts w:ascii="Times New Roman" w:hAnsi="Times New Roman" w:cs="Times New Roman"/>
          <w:sz w:val="28"/>
          <w:szCs w:val="28"/>
        </w:rPr>
        <w:t>»</w:t>
      </w:r>
      <w:r w:rsidRPr="00596AE4"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бюджета </w:t>
      </w:r>
      <w:r w:rsidR="00B96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9654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9654A" w:rsidRPr="00596A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 w:rsidR="00B96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9654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9654A" w:rsidRPr="00596A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предусматривает: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сельского поселения);</w:t>
      </w:r>
      <w:proofErr w:type="gramEnd"/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Финансовый орган)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Порядком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hyperlink r:id="rId12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596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AD2">
        <w:rPr>
          <w:rFonts w:ascii="Times New Roman" w:hAnsi="Times New Roman" w:cs="Times New Roman"/>
          <w:sz w:val="28"/>
          <w:szCs w:val="28"/>
        </w:rPr>
        <w:t>12 февраля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5AD2">
        <w:rPr>
          <w:rFonts w:ascii="Times New Roman" w:hAnsi="Times New Roman" w:cs="Times New Roman"/>
          <w:sz w:val="28"/>
          <w:szCs w:val="28"/>
        </w:rPr>
        <w:t>№4</w:t>
      </w:r>
      <w:r w:rsidRPr="00596AE4">
        <w:rPr>
          <w:rFonts w:ascii="Times New Roman" w:hAnsi="Times New Roman" w:cs="Times New Roman"/>
          <w:sz w:val="28"/>
          <w:szCs w:val="28"/>
        </w:rPr>
        <w:t xml:space="preserve">, исполнение заключенных муниципальных контрактов, иных договоров осуществляется в соответствии с требованиями </w:t>
      </w:r>
      <w:hyperlink r:id="rId13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БК РФ.</w:t>
      </w:r>
      <w:proofErr w:type="gramEnd"/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C3B3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96AE4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основании Договора (соглашения) об обмене электронными документами, и требованиями, установленными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Башкортостан и нормативными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lastRenderedPageBreak/>
        <w:t>9. Для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tooltip="Приказ Минфина РБ от 14.11.2008 N 47 (ред. от 28.12.2017) &quot;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" w:history="1">
        <w:r w:rsidRPr="00596AE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>(далее - Порядок санкционирования).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C3116" w:rsidRPr="00596AE4" w:rsidRDefault="00AC3116" w:rsidP="00685A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16" w:rsidRPr="00596AE4" w:rsidRDefault="00AC3116" w:rsidP="0068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>органом, подтверждающей списание денежных сре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AC3116" w:rsidRPr="00596AE4" w:rsidRDefault="00AC3116" w:rsidP="00685AD2">
      <w:pPr>
        <w:ind w:firstLine="709"/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       11. </w:t>
      </w:r>
      <w:proofErr w:type="gramStart"/>
      <w:r w:rsidRPr="00596AE4">
        <w:rPr>
          <w:sz w:val="28"/>
          <w:szCs w:val="28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tooltip="Приказ Минфина РБ от 14.11.2008 N 44 (ред. от 29.04.2019) &quot;Об утверждении Порядка открытия и ведения лицевых счетов в Министерстве финансов Республики Башкортостан&quot; (Зарегистрировано в Минюсте РБ 26.11.2008 N 488){КонсультантПлюс}" w:history="1">
        <w:r w:rsidRPr="00596AE4">
          <w:rPr>
            <w:sz w:val="28"/>
            <w:szCs w:val="28"/>
          </w:rPr>
          <w:t>Порядком</w:t>
        </w:r>
      </w:hyperlink>
      <w:r w:rsidRPr="00596AE4">
        <w:rPr>
          <w:sz w:val="28"/>
          <w:szCs w:val="28"/>
        </w:rPr>
        <w:t xml:space="preserve"> открытия и ведения лицевых счетов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596AE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596AE4">
        <w:rPr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596AE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596AE4">
        <w:rPr>
          <w:sz w:val="28"/>
          <w:szCs w:val="28"/>
        </w:rPr>
        <w:t xml:space="preserve"> район  Республики Баш</w:t>
      </w:r>
      <w:r>
        <w:rPr>
          <w:sz w:val="28"/>
          <w:szCs w:val="28"/>
        </w:rPr>
        <w:t>кортостан.</w:t>
      </w:r>
      <w:r w:rsidRPr="00596AE4">
        <w:rPr>
          <w:sz w:val="28"/>
          <w:szCs w:val="28"/>
        </w:rPr>
        <w:t xml:space="preserve">      </w:t>
      </w:r>
      <w:proofErr w:type="gramEnd"/>
    </w:p>
    <w:p w:rsidR="00AC3116" w:rsidRPr="00596AE4" w:rsidRDefault="00AC3116" w:rsidP="00685AD2">
      <w:pPr>
        <w:ind w:firstLine="709"/>
        <w:jc w:val="both"/>
        <w:rPr>
          <w:b/>
          <w:sz w:val="28"/>
        </w:rPr>
      </w:pPr>
    </w:p>
    <w:p w:rsidR="00AC3116" w:rsidRPr="00596AE4" w:rsidRDefault="00AC3116" w:rsidP="00685AD2">
      <w:pPr>
        <w:ind w:firstLine="709"/>
        <w:jc w:val="both"/>
        <w:rPr>
          <w:b/>
          <w:sz w:val="28"/>
        </w:rPr>
      </w:pPr>
    </w:p>
    <w:p w:rsidR="00E2426C" w:rsidRDefault="00E2426C" w:rsidP="00685AD2">
      <w:pPr>
        <w:pStyle w:val="a3"/>
        <w:ind w:left="0" w:firstLine="709"/>
        <w:rPr>
          <w:iCs/>
          <w:szCs w:val="28"/>
        </w:rPr>
      </w:pPr>
    </w:p>
    <w:p w:rsidR="00E2426C" w:rsidRDefault="00E2426C" w:rsidP="00685AD2">
      <w:pPr>
        <w:pStyle w:val="a3"/>
        <w:ind w:left="0" w:firstLine="709"/>
        <w:rPr>
          <w:iCs/>
          <w:szCs w:val="28"/>
        </w:rPr>
      </w:pPr>
    </w:p>
    <w:p w:rsidR="00E2426C" w:rsidRDefault="00E2426C" w:rsidP="00685AD2">
      <w:pPr>
        <w:pStyle w:val="a3"/>
        <w:ind w:left="0" w:firstLine="709"/>
        <w:rPr>
          <w:iCs/>
          <w:szCs w:val="28"/>
        </w:rPr>
      </w:pPr>
    </w:p>
    <w:p w:rsidR="00E2426C" w:rsidRDefault="00E2426C" w:rsidP="00685AD2">
      <w:pPr>
        <w:ind w:firstLine="709"/>
        <w:rPr>
          <w:iCs/>
          <w:sz w:val="28"/>
          <w:szCs w:val="28"/>
        </w:rPr>
      </w:pPr>
    </w:p>
    <w:p w:rsidR="00E2426C" w:rsidRDefault="00E2426C" w:rsidP="00685AD2">
      <w:pPr>
        <w:ind w:firstLine="709"/>
        <w:rPr>
          <w:iCs/>
          <w:sz w:val="28"/>
          <w:szCs w:val="28"/>
        </w:rPr>
      </w:pPr>
    </w:p>
    <w:p w:rsidR="00A305DF" w:rsidRDefault="00A305DF" w:rsidP="00685AD2">
      <w:pPr>
        <w:ind w:firstLine="709"/>
        <w:rPr>
          <w:iCs/>
          <w:sz w:val="28"/>
          <w:szCs w:val="28"/>
        </w:rPr>
      </w:pPr>
    </w:p>
    <w:p w:rsidR="00A305DF" w:rsidRDefault="00A305DF" w:rsidP="00685AD2">
      <w:pPr>
        <w:ind w:firstLine="709"/>
        <w:rPr>
          <w:iCs/>
          <w:sz w:val="28"/>
          <w:szCs w:val="28"/>
        </w:rPr>
      </w:pPr>
    </w:p>
    <w:p w:rsidR="00A305DF" w:rsidRDefault="00A305DF" w:rsidP="00685AD2">
      <w:pPr>
        <w:ind w:firstLine="709"/>
        <w:rPr>
          <w:iCs/>
          <w:sz w:val="28"/>
          <w:szCs w:val="28"/>
        </w:rPr>
      </w:pPr>
    </w:p>
    <w:p w:rsidR="00E2426C" w:rsidRDefault="00E2426C" w:rsidP="00685AD2">
      <w:pPr>
        <w:ind w:firstLine="709"/>
        <w:rPr>
          <w:iCs/>
          <w:sz w:val="28"/>
          <w:szCs w:val="28"/>
        </w:rPr>
      </w:pPr>
    </w:p>
    <w:p w:rsidR="00716E91" w:rsidRDefault="00716E91" w:rsidP="00685AD2">
      <w:pPr>
        <w:ind w:firstLine="709"/>
        <w:rPr>
          <w:iCs/>
          <w:sz w:val="28"/>
          <w:szCs w:val="28"/>
        </w:rPr>
      </w:pPr>
    </w:p>
    <w:p w:rsidR="00716E91" w:rsidRDefault="00716E91" w:rsidP="00685AD2">
      <w:pPr>
        <w:ind w:firstLine="709"/>
        <w:rPr>
          <w:iCs/>
          <w:sz w:val="28"/>
          <w:szCs w:val="28"/>
        </w:rPr>
      </w:pPr>
    </w:p>
    <w:p w:rsidR="00716E91" w:rsidRDefault="00716E91" w:rsidP="00685AD2">
      <w:pPr>
        <w:ind w:firstLine="709"/>
        <w:rPr>
          <w:iCs/>
          <w:sz w:val="28"/>
          <w:szCs w:val="28"/>
        </w:rPr>
      </w:pPr>
    </w:p>
    <w:p w:rsidR="00716E91" w:rsidRDefault="00716E91" w:rsidP="00685AD2">
      <w:pPr>
        <w:ind w:firstLine="709"/>
        <w:rPr>
          <w:iCs/>
          <w:sz w:val="28"/>
          <w:szCs w:val="28"/>
        </w:rPr>
      </w:pPr>
    </w:p>
    <w:p w:rsidR="00716E91" w:rsidRDefault="00716E91" w:rsidP="00685AD2">
      <w:pPr>
        <w:ind w:firstLine="709"/>
        <w:rPr>
          <w:iCs/>
          <w:sz w:val="28"/>
          <w:szCs w:val="28"/>
        </w:rPr>
      </w:pPr>
    </w:p>
    <w:p w:rsidR="00716E91" w:rsidRDefault="00716E91" w:rsidP="00685AD2">
      <w:pPr>
        <w:ind w:firstLine="709"/>
        <w:rPr>
          <w:iCs/>
          <w:sz w:val="28"/>
          <w:szCs w:val="28"/>
        </w:rPr>
      </w:pPr>
    </w:p>
    <w:p w:rsidR="00E2426C" w:rsidRDefault="00E2426C" w:rsidP="00685AD2">
      <w:pPr>
        <w:ind w:firstLine="709"/>
      </w:pPr>
    </w:p>
    <w:p w:rsidR="00E2426C" w:rsidRDefault="00E2426C" w:rsidP="00685AD2">
      <w:pPr>
        <w:ind w:firstLine="709"/>
      </w:pPr>
    </w:p>
    <w:p w:rsidR="00E2426C" w:rsidRDefault="00E2426C" w:rsidP="00685AD2">
      <w:pPr>
        <w:ind w:firstLine="709"/>
      </w:pPr>
    </w:p>
    <w:p w:rsidR="00E2426C" w:rsidRDefault="00E2426C" w:rsidP="00685AD2">
      <w:pPr>
        <w:ind w:firstLine="709"/>
      </w:pPr>
    </w:p>
    <w:sectPr w:rsidR="00E2426C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F97D6D"/>
    <w:multiLevelType w:val="hybridMultilevel"/>
    <w:tmpl w:val="D17C1BEA"/>
    <w:lvl w:ilvl="0" w:tplc="E98E79D2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1315A8"/>
    <w:rsid w:val="002E4A3B"/>
    <w:rsid w:val="003A4BE5"/>
    <w:rsid w:val="004374D2"/>
    <w:rsid w:val="0047388A"/>
    <w:rsid w:val="004B1D75"/>
    <w:rsid w:val="004D6281"/>
    <w:rsid w:val="00571084"/>
    <w:rsid w:val="005846CA"/>
    <w:rsid w:val="005B64F7"/>
    <w:rsid w:val="005E39BA"/>
    <w:rsid w:val="00620E1C"/>
    <w:rsid w:val="00654115"/>
    <w:rsid w:val="0066236E"/>
    <w:rsid w:val="00685AD2"/>
    <w:rsid w:val="006C2B97"/>
    <w:rsid w:val="00716E91"/>
    <w:rsid w:val="00727668"/>
    <w:rsid w:val="00887949"/>
    <w:rsid w:val="008A28B4"/>
    <w:rsid w:val="00922971"/>
    <w:rsid w:val="00A305DF"/>
    <w:rsid w:val="00A9619F"/>
    <w:rsid w:val="00AC3116"/>
    <w:rsid w:val="00AD2604"/>
    <w:rsid w:val="00B12FF6"/>
    <w:rsid w:val="00B373F9"/>
    <w:rsid w:val="00B8592F"/>
    <w:rsid w:val="00B86877"/>
    <w:rsid w:val="00B9654A"/>
    <w:rsid w:val="00BC0036"/>
    <w:rsid w:val="00BC336E"/>
    <w:rsid w:val="00CC3B3C"/>
    <w:rsid w:val="00CF7528"/>
    <w:rsid w:val="00D175B9"/>
    <w:rsid w:val="00DE15CB"/>
    <w:rsid w:val="00E12CFC"/>
    <w:rsid w:val="00E2426C"/>
    <w:rsid w:val="00EE70AB"/>
    <w:rsid w:val="00F45165"/>
    <w:rsid w:val="00F54CE2"/>
    <w:rsid w:val="00F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FF6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"/>
    <w:rsid w:val="00A305DF"/>
  </w:style>
  <w:style w:type="paragraph" w:customStyle="1" w:styleId="3">
    <w:name w:val="Обычный3"/>
    <w:rsid w:val="00AD260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12F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12F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2F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C3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3" Type="http://schemas.openxmlformats.org/officeDocument/2006/relationships/hyperlink" Target="consultantplus://offline/ref=C2F0C7AB1E2D1D24D25BF0E53FF98D2F4AD4FAAAD49F0014B1945DABADCB19C8B7C458427773F0ABD1C77D966AA26E3664812F52147231B7EBK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2" Type="http://schemas.openxmlformats.org/officeDocument/2006/relationships/hyperlink" Target="consultantplus://offline/ref=C2F0C7AB1E2D1D24D25BEEE82995D22649DCA2A0DA9D0F43E5CB06F6FAC2139FF08B01123325F9A2DBD228C530F56336E6K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F0C7AB1E2D1D24D25BEEE82995D22649DCA2A0DD9C0A40EFC45BFCF29B1F9DF7845E173434F9A2D9CC29C62BFC376622CA2351086E30B4A19C9400EEK3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1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2F0C7AB1E2D1D24D25BEEE82995D22649DCA2A0DD9E0240EBC15BFCF29B1F9DF7845E173434F9A2D9CC29C62DFC376622CA2351086E30B4A19C9400EEK3G" TargetMode="External"/><Relationship Id="rId10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4" Type="http://schemas.openxmlformats.org/officeDocument/2006/relationships/hyperlink" Target="consultantplus://offline/ref=C2F0C7AB1E2D1D24D25BF0E53FF98D2F4AD4FAAAD49F0014B1945DABADCB19C8A5C4004E7672EAA2DBD22BC72FEF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2020-02-03T10:19:00Z</cp:lastPrinted>
  <dcterms:created xsi:type="dcterms:W3CDTF">2020-02-03T10:19:00Z</dcterms:created>
  <dcterms:modified xsi:type="dcterms:W3CDTF">2020-03-20T10:18:00Z</dcterms:modified>
</cp:coreProperties>
</file>